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D6AE47" w14:textId="652BE5CD" w:rsidR="00E4603C" w:rsidRDefault="0036463B" w:rsidP="0036463B">
      <w:pPr>
        <w:jc w:val="both"/>
        <w:rPr>
          <w:b/>
          <w:bCs/>
        </w:rPr>
      </w:pPr>
      <w:r w:rsidRPr="00AD5140">
        <w:rPr>
          <w:b/>
          <w:bCs/>
        </w:rPr>
        <w:t>Amendment – I</w:t>
      </w:r>
      <w:r w:rsidR="000B7193">
        <w:rPr>
          <w:b/>
          <w:bCs/>
        </w:rPr>
        <w:t>I</w:t>
      </w:r>
      <w:r w:rsidRPr="00AD5140">
        <w:rPr>
          <w:b/>
          <w:bCs/>
        </w:rPr>
        <w:t xml:space="preserve"> </w:t>
      </w:r>
      <w:r w:rsidR="008120EC">
        <w:rPr>
          <w:b/>
          <w:bCs/>
        </w:rPr>
        <w:t>to the Bidding Documents for</w:t>
      </w:r>
      <w:r w:rsidRPr="00AD5140">
        <w:rPr>
          <w:b/>
          <w:bCs/>
        </w:rPr>
        <w:t xml:space="preserve"> </w:t>
      </w:r>
      <w:r w:rsidR="00C9579F" w:rsidRPr="00C9579F">
        <w:rPr>
          <w:b/>
          <w:bCs/>
        </w:rPr>
        <w:t>Supply, Installation &amp; Commissioning of Spring-Spring Operated 3-Ph, 145kV, Circuit Breakers with SF6 free alternative medium including dismantling of existing 145kV CBs at Imphal S/s</w:t>
      </w:r>
      <w:r w:rsidR="00FE102B">
        <w:rPr>
          <w:b/>
          <w:bCs/>
        </w:rPr>
        <w:t>.</w:t>
      </w:r>
    </w:p>
    <w:p w14:paraId="248B00F4" w14:textId="26D4E401" w:rsidR="00FE102B" w:rsidRPr="00AD5140" w:rsidRDefault="00FE102B" w:rsidP="0036463B">
      <w:pPr>
        <w:jc w:val="both"/>
        <w:rPr>
          <w:b/>
          <w:bCs/>
        </w:rPr>
      </w:pPr>
      <w:r>
        <w:rPr>
          <w:rFonts w:ascii="Book Antiqua" w:hAnsi="Book Antiqua" w:cs="Aptos"/>
          <w:szCs w:val="22"/>
        </w:rPr>
        <w:t xml:space="preserve">Spec. No. </w:t>
      </w:r>
      <w:r w:rsidRPr="00E3158A">
        <w:rPr>
          <w:rFonts w:ascii="Book Antiqua" w:hAnsi="Book Antiqua" w:cs="Aptos"/>
          <w:szCs w:val="22"/>
        </w:rPr>
        <w:t>CC/NT/W-MISC/DOM/A06/24/10523</w:t>
      </w:r>
    </w:p>
    <w:tbl>
      <w:tblPr>
        <w:tblStyle w:val="TableGrid"/>
        <w:tblW w:w="0" w:type="auto"/>
        <w:tblLook w:val="04A0" w:firstRow="1" w:lastRow="0" w:firstColumn="1" w:lastColumn="0" w:noHBand="0" w:noVBand="1"/>
      </w:tblPr>
      <w:tblGrid>
        <w:gridCol w:w="1057"/>
        <w:gridCol w:w="1915"/>
        <w:gridCol w:w="5103"/>
        <w:gridCol w:w="5337"/>
      </w:tblGrid>
      <w:tr w:rsidR="00AD5140" w14:paraId="0E4DC0F7" w14:textId="77777777" w:rsidTr="00366FB8">
        <w:trPr>
          <w:trHeight w:val="580"/>
        </w:trPr>
        <w:tc>
          <w:tcPr>
            <w:tcW w:w="1057" w:type="dxa"/>
          </w:tcPr>
          <w:p w14:paraId="4251BD51" w14:textId="7E39A5C8" w:rsidR="00AD5140" w:rsidRPr="00F72137" w:rsidRDefault="00AD5140" w:rsidP="0036463B">
            <w:pPr>
              <w:jc w:val="both"/>
              <w:rPr>
                <w:b/>
                <w:bCs/>
              </w:rPr>
            </w:pPr>
            <w:r w:rsidRPr="00F72137">
              <w:rPr>
                <w:b/>
                <w:bCs/>
              </w:rPr>
              <w:t>Sl. No.</w:t>
            </w:r>
          </w:p>
        </w:tc>
        <w:tc>
          <w:tcPr>
            <w:tcW w:w="1915" w:type="dxa"/>
          </w:tcPr>
          <w:p w14:paraId="54D899D3" w14:textId="58449F4F" w:rsidR="00AD5140" w:rsidRPr="00F72137" w:rsidRDefault="00AD5140" w:rsidP="0036463B">
            <w:pPr>
              <w:jc w:val="both"/>
              <w:rPr>
                <w:b/>
                <w:bCs/>
              </w:rPr>
            </w:pPr>
            <w:r w:rsidRPr="00F72137">
              <w:rPr>
                <w:b/>
                <w:bCs/>
              </w:rPr>
              <w:t>Clause Reference</w:t>
            </w:r>
          </w:p>
        </w:tc>
        <w:tc>
          <w:tcPr>
            <w:tcW w:w="5103" w:type="dxa"/>
          </w:tcPr>
          <w:p w14:paraId="149225D9" w14:textId="0792227E" w:rsidR="00AD5140" w:rsidRPr="00F72137" w:rsidRDefault="00AD5140" w:rsidP="0036463B">
            <w:pPr>
              <w:jc w:val="both"/>
              <w:rPr>
                <w:b/>
                <w:bCs/>
              </w:rPr>
            </w:pPr>
            <w:r w:rsidRPr="00F72137">
              <w:rPr>
                <w:b/>
                <w:bCs/>
              </w:rPr>
              <w:t>Existing Provision</w:t>
            </w:r>
          </w:p>
        </w:tc>
        <w:tc>
          <w:tcPr>
            <w:tcW w:w="5337" w:type="dxa"/>
          </w:tcPr>
          <w:p w14:paraId="45C2A26A" w14:textId="30B08060" w:rsidR="00AD5140" w:rsidRPr="00F72137" w:rsidRDefault="00AD5140" w:rsidP="0036463B">
            <w:pPr>
              <w:jc w:val="both"/>
              <w:rPr>
                <w:b/>
                <w:bCs/>
              </w:rPr>
            </w:pPr>
            <w:r w:rsidRPr="00F72137">
              <w:rPr>
                <w:b/>
                <w:bCs/>
              </w:rPr>
              <w:t>Amended Provision</w:t>
            </w:r>
          </w:p>
        </w:tc>
      </w:tr>
      <w:tr w:rsidR="00FF5657" w14:paraId="008E96E5" w14:textId="77777777" w:rsidTr="00366FB8">
        <w:trPr>
          <w:trHeight w:val="580"/>
        </w:trPr>
        <w:tc>
          <w:tcPr>
            <w:tcW w:w="1057" w:type="dxa"/>
          </w:tcPr>
          <w:p w14:paraId="45C00B45" w14:textId="075324AC" w:rsidR="00FF5657" w:rsidRDefault="00FF5657" w:rsidP="00FF5657">
            <w:pPr>
              <w:jc w:val="both"/>
            </w:pPr>
            <w:r>
              <w:t>1.</w:t>
            </w:r>
          </w:p>
        </w:tc>
        <w:tc>
          <w:tcPr>
            <w:tcW w:w="1915" w:type="dxa"/>
          </w:tcPr>
          <w:p w14:paraId="737D3440" w14:textId="3D7BB7C8" w:rsidR="00FF5657" w:rsidRDefault="00FF5657" w:rsidP="00FF5657">
            <w:pPr>
              <w:jc w:val="both"/>
            </w:pPr>
            <w:r w:rsidRPr="00633AA1">
              <w:t>Section- Switchgear GCB (for 145kV) Rev.00</w:t>
            </w:r>
            <w:r>
              <w:t>, Clause 4.1.1</w:t>
            </w:r>
          </w:p>
        </w:tc>
        <w:tc>
          <w:tcPr>
            <w:tcW w:w="5103" w:type="dxa"/>
          </w:tcPr>
          <w:p w14:paraId="254A6174" w14:textId="04CE24D5" w:rsidR="00FF5657" w:rsidRDefault="00FF5657" w:rsidP="00FF5657">
            <w:pPr>
              <w:jc w:val="both"/>
            </w:pPr>
            <w:r>
              <w:t xml:space="preserve">The gap between the open contacts shall be such that it can withstand at least the rated phase to ground voltage for 8 hours at </w:t>
            </w:r>
            <w:proofErr w:type="gramStart"/>
            <w:r>
              <w:t>zero gauge</w:t>
            </w:r>
            <w:proofErr w:type="gramEnd"/>
            <w:r>
              <w:t xml:space="preserve"> pressure of SF6 free alternative medium due to the leakage. The breaker should be able to withstand all dielectric stresses imposed on it in open condition at lock out pressure continuously (i.e. 2 </w:t>
            </w:r>
            <w:proofErr w:type="spellStart"/>
            <w:r>
              <w:t>p.u</w:t>
            </w:r>
            <w:proofErr w:type="spellEnd"/>
            <w:r>
              <w:t>. across the breaker continuously, for validation of which a power frequency dielectric with stand test conducted for a duration of at least 15 minutes is acceptable).</w:t>
            </w:r>
          </w:p>
        </w:tc>
        <w:tc>
          <w:tcPr>
            <w:tcW w:w="5337" w:type="dxa"/>
          </w:tcPr>
          <w:p w14:paraId="31896FB1" w14:textId="3022A767" w:rsidR="00FF5657" w:rsidRPr="00FE102B" w:rsidRDefault="00FE102B" w:rsidP="00FF5657">
            <w:pPr>
              <w:jc w:val="both"/>
            </w:pPr>
            <w:r w:rsidRPr="00FE102B">
              <w:t>Deleted</w:t>
            </w:r>
          </w:p>
        </w:tc>
      </w:tr>
      <w:tr w:rsidR="00181418" w14:paraId="1C590C73" w14:textId="77777777" w:rsidTr="00366FB8">
        <w:trPr>
          <w:trHeight w:val="580"/>
        </w:trPr>
        <w:tc>
          <w:tcPr>
            <w:tcW w:w="1057" w:type="dxa"/>
          </w:tcPr>
          <w:p w14:paraId="24EB05EE" w14:textId="3429437D" w:rsidR="00181418" w:rsidRDefault="00181418" w:rsidP="00FF5657">
            <w:pPr>
              <w:jc w:val="both"/>
            </w:pPr>
            <w:r>
              <w:t>2.</w:t>
            </w:r>
          </w:p>
        </w:tc>
        <w:tc>
          <w:tcPr>
            <w:tcW w:w="1915" w:type="dxa"/>
          </w:tcPr>
          <w:p w14:paraId="674F48DC" w14:textId="4F6432A9" w:rsidR="00181418" w:rsidRPr="00633AA1" w:rsidRDefault="00181418" w:rsidP="00FF5657">
            <w:pPr>
              <w:jc w:val="both"/>
            </w:pPr>
            <w:r w:rsidRPr="00633AA1">
              <w:t>Section- Switchgear GCB (for 145kV) Rev.00</w:t>
            </w:r>
            <w:r>
              <w:t>, Clause 15.2 (iv)</w:t>
            </w:r>
          </w:p>
        </w:tc>
        <w:tc>
          <w:tcPr>
            <w:tcW w:w="5103" w:type="dxa"/>
          </w:tcPr>
          <w:p w14:paraId="67AB121C" w14:textId="744FA525" w:rsidR="00181418" w:rsidRDefault="00722F73" w:rsidP="00FF5657">
            <w:pPr>
              <w:jc w:val="both"/>
            </w:pPr>
            <w:r w:rsidRPr="00722F73">
              <w:t>Test to demonstrate the Power Frequency withstand capability of breaker in open condition at Zero Gauge pressure and at lockout pressure (Ref. Clause 4.1.1).</w:t>
            </w:r>
          </w:p>
        </w:tc>
        <w:tc>
          <w:tcPr>
            <w:tcW w:w="5337" w:type="dxa"/>
          </w:tcPr>
          <w:p w14:paraId="28E2B57C" w14:textId="7A38E855" w:rsidR="00181418" w:rsidRPr="00FE102B" w:rsidRDefault="00FE102B" w:rsidP="00FF5657">
            <w:pPr>
              <w:jc w:val="both"/>
            </w:pPr>
            <w:r w:rsidRPr="00FE102B">
              <w:t>Deleted</w:t>
            </w:r>
          </w:p>
        </w:tc>
      </w:tr>
    </w:tbl>
    <w:p w14:paraId="42BD2766" w14:textId="77777777" w:rsidR="0036463B" w:rsidRDefault="0036463B" w:rsidP="0036463B">
      <w:pPr>
        <w:jc w:val="both"/>
      </w:pPr>
    </w:p>
    <w:sectPr w:rsidR="0036463B" w:rsidSect="00366FB8">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0FE9"/>
    <w:rsid w:val="00005999"/>
    <w:rsid w:val="000B7193"/>
    <w:rsid w:val="000F4F4F"/>
    <w:rsid w:val="00135AA2"/>
    <w:rsid w:val="00181418"/>
    <w:rsid w:val="001B4E79"/>
    <w:rsid w:val="00301DD6"/>
    <w:rsid w:val="00346FBC"/>
    <w:rsid w:val="0036463B"/>
    <w:rsid w:val="00366FB8"/>
    <w:rsid w:val="003D6D09"/>
    <w:rsid w:val="003E14BF"/>
    <w:rsid w:val="00573BCA"/>
    <w:rsid w:val="00594E63"/>
    <w:rsid w:val="00633AA1"/>
    <w:rsid w:val="006B66CD"/>
    <w:rsid w:val="006D24FE"/>
    <w:rsid w:val="00722F73"/>
    <w:rsid w:val="00792C7B"/>
    <w:rsid w:val="008120EC"/>
    <w:rsid w:val="008B6667"/>
    <w:rsid w:val="00917193"/>
    <w:rsid w:val="00AA7D4C"/>
    <w:rsid w:val="00AB7D6E"/>
    <w:rsid w:val="00AD5140"/>
    <w:rsid w:val="00B12EF2"/>
    <w:rsid w:val="00B3611F"/>
    <w:rsid w:val="00B94FCC"/>
    <w:rsid w:val="00C9579F"/>
    <w:rsid w:val="00E4603C"/>
    <w:rsid w:val="00E80FE9"/>
    <w:rsid w:val="00F72137"/>
    <w:rsid w:val="00FE102B"/>
    <w:rsid w:val="00FF3928"/>
    <w:rsid w:val="00FF565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C8668"/>
  <w15:chartTrackingRefBased/>
  <w15:docId w15:val="{01FC7116-3B51-4D97-AEA2-A7600B6FA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paragraph" w:styleId="Heading1">
    <w:name w:val="heading 1"/>
    <w:basedOn w:val="Normal"/>
    <w:next w:val="Normal"/>
    <w:link w:val="Heading1Char"/>
    <w:uiPriority w:val="9"/>
    <w:qFormat/>
    <w:rsid w:val="00E80FE9"/>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E80FE9"/>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E80FE9"/>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E80F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80F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80FE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80FE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80FE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80FE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80FE9"/>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E80FE9"/>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E80FE9"/>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E80F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80F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80F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80F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80F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80FE9"/>
    <w:rPr>
      <w:rFonts w:eastAsiaTheme="majorEastAsia" w:cstheme="majorBidi"/>
      <w:color w:val="272727" w:themeColor="text1" w:themeTint="D8"/>
    </w:rPr>
  </w:style>
  <w:style w:type="paragraph" w:styleId="Title">
    <w:name w:val="Title"/>
    <w:basedOn w:val="Normal"/>
    <w:next w:val="Normal"/>
    <w:link w:val="TitleChar"/>
    <w:uiPriority w:val="10"/>
    <w:qFormat/>
    <w:rsid w:val="00E80FE9"/>
    <w:pPr>
      <w:spacing w:after="80" w:line="240" w:lineRule="auto"/>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E80FE9"/>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E80FE9"/>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E80FE9"/>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E80FE9"/>
    <w:pPr>
      <w:spacing w:before="160"/>
      <w:jc w:val="center"/>
    </w:pPr>
    <w:rPr>
      <w:i/>
      <w:iCs/>
      <w:color w:val="404040" w:themeColor="text1" w:themeTint="BF"/>
    </w:rPr>
  </w:style>
  <w:style w:type="character" w:customStyle="1" w:styleId="QuoteChar">
    <w:name w:val="Quote Char"/>
    <w:basedOn w:val="DefaultParagraphFont"/>
    <w:link w:val="Quote"/>
    <w:uiPriority w:val="29"/>
    <w:rsid w:val="00E80FE9"/>
    <w:rPr>
      <w:rFonts w:cs="Mangal"/>
      <w:i/>
      <w:iCs/>
      <w:color w:val="404040" w:themeColor="text1" w:themeTint="BF"/>
    </w:rPr>
  </w:style>
  <w:style w:type="paragraph" w:styleId="ListParagraph">
    <w:name w:val="List Paragraph"/>
    <w:basedOn w:val="Normal"/>
    <w:uiPriority w:val="34"/>
    <w:qFormat/>
    <w:rsid w:val="00E80FE9"/>
    <w:pPr>
      <w:ind w:left="720"/>
      <w:contextualSpacing/>
    </w:pPr>
  </w:style>
  <w:style w:type="character" w:styleId="IntenseEmphasis">
    <w:name w:val="Intense Emphasis"/>
    <w:basedOn w:val="DefaultParagraphFont"/>
    <w:uiPriority w:val="21"/>
    <w:qFormat/>
    <w:rsid w:val="00E80FE9"/>
    <w:rPr>
      <w:i/>
      <w:iCs/>
      <w:color w:val="0F4761" w:themeColor="accent1" w:themeShade="BF"/>
    </w:rPr>
  </w:style>
  <w:style w:type="paragraph" w:styleId="IntenseQuote">
    <w:name w:val="Intense Quote"/>
    <w:basedOn w:val="Normal"/>
    <w:next w:val="Normal"/>
    <w:link w:val="IntenseQuoteChar"/>
    <w:uiPriority w:val="30"/>
    <w:qFormat/>
    <w:rsid w:val="00E80F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80FE9"/>
    <w:rPr>
      <w:rFonts w:cs="Mangal"/>
      <w:i/>
      <w:iCs/>
      <w:color w:val="0F4761" w:themeColor="accent1" w:themeShade="BF"/>
    </w:rPr>
  </w:style>
  <w:style w:type="character" w:styleId="IntenseReference">
    <w:name w:val="Intense Reference"/>
    <w:basedOn w:val="DefaultParagraphFont"/>
    <w:uiPriority w:val="32"/>
    <w:qFormat/>
    <w:rsid w:val="00E80FE9"/>
    <w:rPr>
      <w:b/>
      <w:bCs/>
      <w:smallCaps/>
      <w:color w:val="0F4761" w:themeColor="accent1" w:themeShade="BF"/>
      <w:spacing w:val="5"/>
    </w:rPr>
  </w:style>
  <w:style w:type="table" w:styleId="TableGrid">
    <w:name w:val="Table Grid"/>
    <w:basedOn w:val="TableNormal"/>
    <w:uiPriority w:val="39"/>
    <w:rsid w:val="00AD51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170</Words>
  <Characters>971</Characters>
  <Application>Microsoft Office Word</Application>
  <DocSecurity>0</DocSecurity>
  <Lines>8</Lines>
  <Paragraphs>2</Paragraphs>
  <ScaleCrop>false</ScaleCrop>
  <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Akhil Sundaran {अखिल सुन्‍दरन}</dc:creator>
  <cp:keywords/>
  <dc:description/>
  <cp:lastModifiedBy>Himanshu Mittal {हिमांशु मित्तल}</cp:lastModifiedBy>
  <cp:revision>12</cp:revision>
  <dcterms:created xsi:type="dcterms:W3CDTF">2024-12-03T12:46:00Z</dcterms:created>
  <dcterms:modified xsi:type="dcterms:W3CDTF">2024-12-11T04:21:00Z</dcterms:modified>
</cp:coreProperties>
</file>